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492" w:rsidRPr="00552537" w:rsidRDefault="00BD7492" w:rsidP="00BD7492">
      <w:pPr>
        <w:pStyle w:val="NoSpacing"/>
        <w:rPr>
          <w:b/>
          <w:sz w:val="24"/>
        </w:rPr>
      </w:pPr>
      <w:r w:rsidRPr="00552537">
        <w:rPr>
          <w:b/>
          <w:sz w:val="24"/>
        </w:rPr>
        <w:t>Shigella + Listeria</w:t>
      </w:r>
    </w:p>
    <w:p w:rsidR="00BD7492" w:rsidRDefault="00BD7492" w:rsidP="00BD7492">
      <w:pPr>
        <w:pStyle w:val="NoSpacing"/>
      </w:pPr>
    </w:p>
    <w:p w:rsidR="00BD7492" w:rsidRDefault="00BD7492" w:rsidP="00BD7492">
      <w:pPr>
        <w:pStyle w:val="NoSpacing"/>
      </w:pPr>
      <w:r>
        <w:t>Bacteria → GM- → Rod → Shigella</w:t>
      </w:r>
    </w:p>
    <w:p w:rsidR="00BD7492" w:rsidRDefault="00BD7492" w:rsidP="00BD7492">
      <w:pPr>
        <w:pStyle w:val="NoSpacing"/>
      </w:pPr>
    </w:p>
    <w:p w:rsidR="00BD7492" w:rsidRPr="00552537" w:rsidRDefault="00BD7492" w:rsidP="00BD7492">
      <w:pPr>
        <w:pStyle w:val="NoSpacing"/>
        <w:rPr>
          <w:b/>
        </w:rPr>
      </w:pPr>
      <w:r w:rsidRPr="00552537">
        <w:rPr>
          <w:b/>
        </w:rPr>
        <w:t>Shigella (divergent from E. coli)</w:t>
      </w:r>
    </w:p>
    <w:p w:rsidR="00BD7492" w:rsidRDefault="00BD7492" w:rsidP="00BD7492">
      <w:pPr>
        <w:pStyle w:val="NoSpacing"/>
        <w:numPr>
          <w:ilvl w:val="0"/>
          <w:numId w:val="1"/>
        </w:numPr>
      </w:pPr>
      <w:r>
        <w:t>4 species distinguished by O-antigen</w:t>
      </w:r>
    </w:p>
    <w:p w:rsidR="00BD7492" w:rsidRDefault="00BD7492" w:rsidP="00BD7492">
      <w:pPr>
        <w:pStyle w:val="NoSpacing"/>
        <w:numPr>
          <w:ilvl w:val="1"/>
          <w:numId w:val="1"/>
        </w:numPr>
      </w:pPr>
      <w:r>
        <w:t>S. dysenteriae – serogroup A (most serious)</w:t>
      </w:r>
    </w:p>
    <w:p w:rsidR="00BD7492" w:rsidRDefault="00BD7492" w:rsidP="00BD7492">
      <w:pPr>
        <w:pStyle w:val="NoSpacing"/>
        <w:numPr>
          <w:ilvl w:val="1"/>
          <w:numId w:val="1"/>
        </w:numPr>
      </w:pPr>
      <w:r>
        <w:t>S. flexneri – serogroup B</w:t>
      </w:r>
    </w:p>
    <w:p w:rsidR="00BD7492" w:rsidRDefault="00BD7492" w:rsidP="00BD7492">
      <w:pPr>
        <w:pStyle w:val="NoSpacing"/>
        <w:numPr>
          <w:ilvl w:val="1"/>
          <w:numId w:val="1"/>
        </w:numPr>
      </w:pPr>
      <w:r>
        <w:t>S. boydii – serogroup C</w:t>
      </w:r>
    </w:p>
    <w:p w:rsidR="00BD7492" w:rsidRDefault="00BD7492" w:rsidP="00BD7492">
      <w:pPr>
        <w:pStyle w:val="NoSpacing"/>
        <w:numPr>
          <w:ilvl w:val="1"/>
          <w:numId w:val="1"/>
        </w:numPr>
      </w:pPr>
      <w:r>
        <w:t>S. sonnei – serogroup D (least serious)</w:t>
      </w:r>
    </w:p>
    <w:p w:rsidR="00334697" w:rsidRDefault="00334697" w:rsidP="00334697">
      <w:pPr>
        <w:pStyle w:val="NoSpacing"/>
        <w:numPr>
          <w:ilvl w:val="0"/>
          <w:numId w:val="1"/>
        </w:numPr>
      </w:pPr>
      <w:r>
        <w:t>Epidemiology</w:t>
      </w:r>
    </w:p>
    <w:p w:rsidR="00334697" w:rsidRDefault="00334697" w:rsidP="00334697">
      <w:pPr>
        <w:pStyle w:val="NoSpacing"/>
        <w:numPr>
          <w:ilvl w:val="1"/>
          <w:numId w:val="1"/>
        </w:numPr>
      </w:pPr>
      <w:r>
        <w:t>10x more likely in children | Mostly in developing countries</w:t>
      </w:r>
    </w:p>
    <w:p w:rsidR="006A3F5C" w:rsidRDefault="00334697" w:rsidP="006A3F5C">
      <w:pPr>
        <w:pStyle w:val="NoSpacing"/>
        <w:numPr>
          <w:ilvl w:val="1"/>
          <w:numId w:val="1"/>
        </w:numPr>
      </w:pPr>
      <w:r>
        <w:t>Person-person contact | Transmitted via food + water</w:t>
      </w:r>
    </w:p>
    <w:p w:rsidR="00754899" w:rsidRDefault="00EF23C3" w:rsidP="006A3F5C">
      <w:pPr>
        <w:pStyle w:val="NoSpacing"/>
        <w:numPr>
          <w:ilvl w:val="0"/>
          <w:numId w:val="1"/>
        </w:numPr>
      </w:pPr>
      <w:r>
        <w:t>Pathophysiology</w:t>
      </w:r>
    </w:p>
    <w:p w:rsidR="00EF23C3" w:rsidRDefault="00EF23C3" w:rsidP="00EF23C3">
      <w:pPr>
        <w:pStyle w:val="NoSpacing"/>
        <w:numPr>
          <w:ilvl w:val="0"/>
          <w:numId w:val="2"/>
        </w:numPr>
      </w:pPr>
      <w:r>
        <w:t>Approach mucosal surface by diffusion (b/c nonmotile)</w:t>
      </w:r>
    </w:p>
    <w:p w:rsidR="00EF23C3" w:rsidRDefault="00EF23C3" w:rsidP="00EF23C3">
      <w:pPr>
        <w:pStyle w:val="NoSpacing"/>
        <w:numPr>
          <w:ilvl w:val="0"/>
          <w:numId w:val="2"/>
        </w:numPr>
      </w:pPr>
      <w:r>
        <w:t>Shigella enters M (microfold cells) – cannot invade normal endothelial cells from apical side</w:t>
      </w:r>
    </w:p>
    <w:p w:rsidR="00EF23C3" w:rsidRDefault="00EF23C3" w:rsidP="00EF23C3">
      <w:pPr>
        <w:pStyle w:val="NoSpacing"/>
        <w:numPr>
          <w:ilvl w:val="0"/>
          <w:numId w:val="2"/>
        </w:numPr>
      </w:pPr>
      <w:r>
        <w:t>Pass thru M-cell + released into lamina propria</w:t>
      </w:r>
    </w:p>
    <w:p w:rsidR="00EF23C3" w:rsidRDefault="00EF23C3" w:rsidP="00EF23C3">
      <w:pPr>
        <w:pStyle w:val="NoSpacing"/>
        <w:numPr>
          <w:ilvl w:val="0"/>
          <w:numId w:val="2"/>
        </w:numPr>
      </w:pPr>
      <w:r>
        <w:t>Some ingested by macrophage → Release IL-1 → ↑host immune response</w:t>
      </w:r>
    </w:p>
    <w:p w:rsidR="00754899" w:rsidRDefault="00754899" w:rsidP="00754899">
      <w:pPr>
        <w:pStyle w:val="NoSpacing"/>
        <w:numPr>
          <w:ilvl w:val="1"/>
          <w:numId w:val="2"/>
        </w:numPr>
      </w:pPr>
      <w:r>
        <w:t>Inflammatory response loosens tight jxns → allows shigella to penetrate epithelium</w:t>
      </w:r>
    </w:p>
    <w:p w:rsidR="00754899" w:rsidRPr="00754899" w:rsidRDefault="00754899" w:rsidP="00754899">
      <w:pPr>
        <w:pStyle w:val="NoSpacing"/>
        <w:numPr>
          <w:ilvl w:val="0"/>
          <w:numId w:val="2"/>
        </w:numPr>
      </w:pPr>
      <w:r>
        <w:t xml:space="preserve">Others bind to basal epithelial surface via </w:t>
      </w:r>
      <w:r>
        <w:rPr>
          <w:rFonts w:cstheme="minorHAnsi"/>
        </w:rPr>
        <w:t>α5β1 integrin</w:t>
      </w:r>
    </w:p>
    <w:p w:rsidR="00754899" w:rsidRPr="00754899" w:rsidRDefault="00754899" w:rsidP="00754899">
      <w:pPr>
        <w:pStyle w:val="NoSpacing"/>
        <w:numPr>
          <w:ilvl w:val="1"/>
          <w:numId w:val="2"/>
        </w:numPr>
      </w:pPr>
      <w:r>
        <w:rPr>
          <w:rFonts w:cstheme="minorHAnsi"/>
        </w:rPr>
        <w:t>Shigella invasion → induces phagocytosis</w:t>
      </w:r>
    </w:p>
    <w:p w:rsidR="00754899" w:rsidRPr="00754899" w:rsidRDefault="00754899" w:rsidP="00754899">
      <w:pPr>
        <w:pStyle w:val="NoSpacing"/>
        <w:numPr>
          <w:ilvl w:val="1"/>
          <w:numId w:val="2"/>
        </w:numPr>
      </w:pPr>
      <w:r>
        <w:rPr>
          <w:rFonts w:cstheme="minorHAnsi"/>
        </w:rPr>
        <w:t>Shigella hemolysin → lyses phagosomal vesicle releasing bacteria into cytoplasm</w:t>
      </w:r>
    </w:p>
    <w:p w:rsidR="00754899" w:rsidRPr="00754899" w:rsidRDefault="00754899" w:rsidP="00754899">
      <w:pPr>
        <w:pStyle w:val="NoSpacing"/>
        <w:numPr>
          <w:ilvl w:val="0"/>
          <w:numId w:val="2"/>
        </w:numPr>
      </w:pPr>
      <w:r>
        <w:rPr>
          <w:rFonts w:cstheme="minorHAnsi"/>
        </w:rPr>
        <w:t>Uses actin-based motility to spread to adj. cells</w:t>
      </w:r>
    </w:p>
    <w:p w:rsidR="00754899" w:rsidRPr="00754899" w:rsidRDefault="00754899" w:rsidP="00754899">
      <w:pPr>
        <w:pStyle w:val="NoSpacing"/>
        <w:numPr>
          <w:ilvl w:val="0"/>
          <w:numId w:val="2"/>
        </w:numPr>
      </w:pPr>
      <w:r>
        <w:rPr>
          <w:rFonts w:cstheme="minorHAnsi"/>
        </w:rPr>
        <w:t>Ulcer forms once sig # epithelial cells are sloughed off</w:t>
      </w:r>
    </w:p>
    <w:p w:rsidR="00754899" w:rsidRPr="006A3F5C" w:rsidRDefault="00754899" w:rsidP="00754899">
      <w:pPr>
        <w:pStyle w:val="NoSpacing"/>
        <w:numPr>
          <w:ilvl w:val="0"/>
          <w:numId w:val="2"/>
        </w:numPr>
      </w:pPr>
      <w:r>
        <w:rPr>
          <w:rFonts w:cstheme="minorHAnsi"/>
        </w:rPr>
        <w:t>Neutrophils also accumulate in large numbers in mucosa + shed into blood</w:t>
      </w:r>
    </w:p>
    <w:p w:rsidR="006A3F5C" w:rsidRDefault="006A3F5C" w:rsidP="006A3F5C">
      <w:pPr>
        <w:pStyle w:val="NoSpacing"/>
        <w:numPr>
          <w:ilvl w:val="1"/>
          <w:numId w:val="2"/>
        </w:numPr>
      </w:pPr>
      <w:r>
        <w:rPr>
          <w:rFonts w:cstheme="minorHAnsi"/>
        </w:rPr>
        <w:t>Results in dysentery</w:t>
      </w:r>
    </w:p>
    <w:p w:rsidR="006A3F5C" w:rsidRDefault="006A3F5C" w:rsidP="006A3F5C">
      <w:pPr>
        <w:pStyle w:val="NoSpacing"/>
        <w:numPr>
          <w:ilvl w:val="0"/>
          <w:numId w:val="4"/>
        </w:numPr>
      </w:pPr>
      <w:r>
        <w:t>Symptoms</w:t>
      </w:r>
    </w:p>
    <w:p w:rsidR="006A3F5C" w:rsidRDefault="006A3F5C" w:rsidP="006A3F5C">
      <w:pPr>
        <w:pStyle w:val="NoSpacing"/>
        <w:numPr>
          <w:ilvl w:val="1"/>
          <w:numId w:val="4"/>
        </w:numPr>
      </w:pPr>
      <w:r>
        <w:t>Dysentery – frequent passage of stools w/ small amts of blood, mucous, pus | Bowel Pain</w:t>
      </w:r>
    </w:p>
    <w:p w:rsidR="006A3F5C" w:rsidRDefault="006A3F5C" w:rsidP="006A3F5C">
      <w:pPr>
        <w:pStyle w:val="NoSpacing"/>
        <w:numPr>
          <w:ilvl w:val="1"/>
          <w:numId w:val="4"/>
        </w:numPr>
      </w:pPr>
      <w:r>
        <w:t>May have bacteremia if S. dysenteriae type 1 ← due to Shiga toxin</w:t>
      </w:r>
    </w:p>
    <w:p w:rsidR="006A3F5C" w:rsidRDefault="006A3F5C" w:rsidP="006A3F5C">
      <w:pPr>
        <w:pStyle w:val="NoSpacing"/>
        <w:numPr>
          <w:ilvl w:val="2"/>
          <w:numId w:val="4"/>
        </w:numPr>
      </w:pPr>
      <w:r>
        <w:t>In 40% of children → severe shigellosis, neuro syms</w:t>
      </w:r>
    </w:p>
    <w:p w:rsidR="006A3F5C" w:rsidRDefault="006A3F5C" w:rsidP="006A3F5C">
      <w:pPr>
        <w:pStyle w:val="NoSpacing"/>
        <w:numPr>
          <w:ilvl w:val="0"/>
          <w:numId w:val="4"/>
        </w:numPr>
      </w:pPr>
      <w:r>
        <w:t>Shiga Toxin</w:t>
      </w:r>
    </w:p>
    <w:p w:rsidR="006A3F5C" w:rsidRDefault="006A3F5C" w:rsidP="006A3F5C">
      <w:pPr>
        <w:pStyle w:val="NoSpacing"/>
        <w:numPr>
          <w:ilvl w:val="1"/>
          <w:numId w:val="4"/>
        </w:numPr>
      </w:pPr>
      <w:r>
        <w:t>Cytotoxin that kills intestinal epithelial + endothelial cells → contribute to bloody diarrhea</w:t>
      </w:r>
    </w:p>
    <w:p w:rsidR="006A3F5C" w:rsidRDefault="006A3F5C" w:rsidP="006A3F5C">
      <w:pPr>
        <w:pStyle w:val="NoSpacing"/>
        <w:numPr>
          <w:ilvl w:val="1"/>
          <w:numId w:val="4"/>
        </w:numPr>
      </w:pPr>
      <w:r>
        <w:t>Irreversibly inactivates the mammalian 60S ribosome → stops protein synthesis → may trigger apoptosis</w:t>
      </w:r>
    </w:p>
    <w:p w:rsidR="006A3F5C" w:rsidRDefault="00416E89" w:rsidP="006A3F5C">
      <w:pPr>
        <w:pStyle w:val="NoSpacing"/>
        <w:numPr>
          <w:ilvl w:val="1"/>
          <w:numId w:val="4"/>
        </w:numPr>
      </w:pPr>
      <w:r>
        <w:t>Also targets villus cells → ↓ Na+ adsorption + excess water in lumen</w:t>
      </w:r>
    </w:p>
    <w:p w:rsidR="0009304C" w:rsidRDefault="0009304C" w:rsidP="0009304C">
      <w:pPr>
        <w:pStyle w:val="NoSpacing"/>
        <w:numPr>
          <w:ilvl w:val="0"/>
          <w:numId w:val="4"/>
        </w:numPr>
      </w:pPr>
      <w:r>
        <w:t>Diagnosis</w:t>
      </w:r>
    </w:p>
    <w:p w:rsidR="0009304C" w:rsidRDefault="0009304C" w:rsidP="0009304C">
      <w:pPr>
        <w:pStyle w:val="NoSpacing"/>
        <w:numPr>
          <w:ilvl w:val="1"/>
          <w:numId w:val="4"/>
        </w:numPr>
      </w:pPr>
      <w:r>
        <w:t>Culture with fresh feces + sample</w:t>
      </w:r>
    </w:p>
    <w:p w:rsidR="0009304C" w:rsidRDefault="0009304C" w:rsidP="0009304C">
      <w:pPr>
        <w:pStyle w:val="NoSpacing"/>
        <w:numPr>
          <w:ilvl w:val="1"/>
          <w:numId w:val="4"/>
        </w:numPr>
      </w:pPr>
      <w:r>
        <w:t>Serotype for rapid presumptive diagnosis</w:t>
      </w:r>
    </w:p>
    <w:p w:rsidR="0009304C" w:rsidRDefault="0009304C" w:rsidP="0009304C">
      <w:pPr>
        <w:pStyle w:val="NoSpacing"/>
        <w:numPr>
          <w:ilvl w:val="0"/>
          <w:numId w:val="4"/>
        </w:numPr>
      </w:pPr>
      <w:r>
        <w:t>Treatment</w:t>
      </w:r>
    </w:p>
    <w:p w:rsidR="0009304C" w:rsidRDefault="0009304C" w:rsidP="0009304C">
      <w:pPr>
        <w:pStyle w:val="NoSpacing"/>
        <w:numPr>
          <w:ilvl w:val="1"/>
          <w:numId w:val="4"/>
        </w:numPr>
      </w:pPr>
      <w:r>
        <w:t>ANtiobiotics to reduce severity, duration, + infectivity</w:t>
      </w:r>
    </w:p>
    <w:p w:rsidR="0009304C" w:rsidRDefault="0009304C" w:rsidP="0009304C">
      <w:pPr>
        <w:pStyle w:val="NoSpacing"/>
        <w:numPr>
          <w:ilvl w:val="1"/>
          <w:numId w:val="4"/>
        </w:numPr>
      </w:pPr>
      <w:r>
        <w:t>Need to be wary of rapid antiobiotic resistance</w:t>
      </w:r>
    </w:p>
    <w:p w:rsidR="0009304C" w:rsidRDefault="0009304C" w:rsidP="0009304C">
      <w:pPr>
        <w:pStyle w:val="NoSpacing"/>
        <w:numPr>
          <w:ilvl w:val="1"/>
          <w:numId w:val="4"/>
        </w:numPr>
      </w:pPr>
      <w:r>
        <w:t>DOC – FQs (contra if &lt;17yrs old)</w:t>
      </w:r>
    </w:p>
    <w:p w:rsidR="0009304C" w:rsidRDefault="0009304C" w:rsidP="0009304C">
      <w:pPr>
        <w:pStyle w:val="NoSpacing"/>
        <w:numPr>
          <w:ilvl w:val="1"/>
          <w:numId w:val="4"/>
        </w:numPr>
      </w:pPr>
      <w:r>
        <w:t xml:space="preserve">New </w:t>
      </w:r>
      <w:r>
        <w:rPr>
          <w:rFonts w:cstheme="minorHAnsi"/>
        </w:rPr>
        <w:t>β</w:t>
      </w:r>
      <w:r>
        <w:t>-lactams | Cephalosporins available</w:t>
      </w:r>
    </w:p>
    <w:p w:rsidR="0009304C" w:rsidRDefault="0009304C" w:rsidP="0009304C">
      <w:pPr>
        <w:pStyle w:val="NoSpacing"/>
        <w:numPr>
          <w:ilvl w:val="1"/>
          <w:numId w:val="4"/>
        </w:numPr>
      </w:pPr>
      <w:r>
        <w:t>NO vaccine</w:t>
      </w:r>
    </w:p>
    <w:p w:rsidR="0009304C" w:rsidRDefault="0009304C" w:rsidP="00595CE3">
      <w:pPr>
        <w:pStyle w:val="NoSpacing"/>
      </w:pPr>
    </w:p>
    <w:p w:rsidR="00827292" w:rsidRDefault="00827292" w:rsidP="00595CE3">
      <w:pPr>
        <w:pStyle w:val="NoSpacing"/>
        <w:rPr>
          <w:sz w:val="24"/>
        </w:rPr>
      </w:pPr>
    </w:p>
    <w:p w:rsidR="00827292" w:rsidRDefault="00827292" w:rsidP="00595CE3">
      <w:pPr>
        <w:pStyle w:val="NoSpacing"/>
        <w:rPr>
          <w:sz w:val="24"/>
        </w:rPr>
      </w:pPr>
    </w:p>
    <w:p w:rsidR="00827292" w:rsidRDefault="00827292" w:rsidP="00595CE3">
      <w:pPr>
        <w:pStyle w:val="NoSpacing"/>
        <w:rPr>
          <w:sz w:val="24"/>
        </w:rPr>
      </w:pPr>
    </w:p>
    <w:p w:rsidR="00827292" w:rsidRDefault="00827292" w:rsidP="00595CE3">
      <w:pPr>
        <w:pStyle w:val="NoSpacing"/>
        <w:rPr>
          <w:sz w:val="24"/>
        </w:rPr>
      </w:pPr>
    </w:p>
    <w:p w:rsidR="0054119F" w:rsidRDefault="0054119F" w:rsidP="00595CE3">
      <w:pPr>
        <w:pStyle w:val="NoSpacing"/>
        <w:rPr>
          <w:sz w:val="24"/>
        </w:rPr>
      </w:pPr>
    </w:p>
    <w:p w:rsidR="00595CE3" w:rsidRPr="00552537" w:rsidRDefault="00595CE3" w:rsidP="00595CE3">
      <w:pPr>
        <w:pStyle w:val="NoSpacing"/>
        <w:rPr>
          <w:sz w:val="24"/>
        </w:rPr>
      </w:pPr>
      <w:bookmarkStart w:id="0" w:name="_GoBack"/>
      <w:bookmarkEnd w:id="0"/>
      <w:r w:rsidRPr="00552537">
        <w:rPr>
          <w:sz w:val="24"/>
        </w:rPr>
        <w:lastRenderedPageBreak/>
        <w:t>Bacteria → Gm+ → Rod → Listeria</w:t>
      </w:r>
    </w:p>
    <w:p w:rsidR="00595CE3" w:rsidRDefault="00595CE3" w:rsidP="00D81B72">
      <w:pPr>
        <w:pStyle w:val="NoSpacing"/>
      </w:pPr>
    </w:p>
    <w:p w:rsidR="00D81B72" w:rsidRPr="00552537" w:rsidRDefault="00D81B72" w:rsidP="00D81B72">
      <w:pPr>
        <w:pStyle w:val="NoSpacing"/>
        <w:rPr>
          <w:b/>
        </w:rPr>
      </w:pPr>
      <w:r w:rsidRPr="00552537">
        <w:rPr>
          <w:b/>
        </w:rPr>
        <w:t>Listeria monocytogenes</w:t>
      </w:r>
    </w:p>
    <w:p w:rsidR="00D81B72" w:rsidRDefault="00CA6C0E" w:rsidP="00CA6C0E">
      <w:pPr>
        <w:pStyle w:val="NoSpacing"/>
        <w:numPr>
          <w:ilvl w:val="0"/>
          <w:numId w:val="6"/>
        </w:numPr>
      </w:pPr>
      <w:r>
        <w:t>Sym: Septicemia (m – 50%) | Meningitis/Encephalitis (m – 70%) | Corneal Ulcer | Pneumonia</w:t>
      </w:r>
    </w:p>
    <w:p w:rsidR="00486F25" w:rsidRDefault="00CA6C0E" w:rsidP="00486F25">
      <w:pPr>
        <w:pStyle w:val="NoSpacing"/>
        <w:numPr>
          <w:ilvl w:val="0"/>
          <w:numId w:val="6"/>
        </w:numPr>
      </w:pPr>
      <w:r>
        <w:t>Intrauterine/Cervical Infection (m – 80%)</w:t>
      </w:r>
    </w:p>
    <w:p w:rsidR="00486F25" w:rsidRDefault="00486F25" w:rsidP="00486F25">
      <w:pPr>
        <w:pStyle w:val="NoSpacing"/>
        <w:numPr>
          <w:ilvl w:val="1"/>
          <w:numId w:val="6"/>
        </w:numPr>
      </w:pPr>
      <w:r>
        <w:t>Bacteria can cross endothelial later of placenta</w:t>
      </w:r>
    </w:p>
    <w:p w:rsidR="00486F25" w:rsidRDefault="00486F25" w:rsidP="00486F25">
      <w:pPr>
        <w:pStyle w:val="NoSpacing"/>
        <w:numPr>
          <w:ilvl w:val="2"/>
          <w:numId w:val="6"/>
        </w:numPr>
      </w:pPr>
      <w:r>
        <w:t>Spontaneous abortion or stillbirth</w:t>
      </w:r>
    </w:p>
    <w:p w:rsidR="00486F25" w:rsidRDefault="00486F25" w:rsidP="00486F25">
      <w:pPr>
        <w:pStyle w:val="NoSpacing"/>
        <w:numPr>
          <w:ilvl w:val="2"/>
          <w:numId w:val="6"/>
        </w:numPr>
      </w:pPr>
      <w:r>
        <w:t>Granulomatosis infantiseptica – pyogenic granulomas</w:t>
      </w:r>
    </w:p>
    <w:p w:rsidR="00987000" w:rsidRDefault="00987000" w:rsidP="00987000">
      <w:pPr>
        <w:pStyle w:val="NoSpacing"/>
        <w:numPr>
          <w:ilvl w:val="0"/>
          <w:numId w:val="6"/>
        </w:numPr>
      </w:pPr>
      <w:r>
        <w:t>Pathogenesis</w:t>
      </w:r>
    </w:p>
    <w:p w:rsidR="00987000" w:rsidRDefault="00987000" w:rsidP="00987000">
      <w:pPr>
        <w:pStyle w:val="NoSpacing"/>
        <w:numPr>
          <w:ilvl w:val="0"/>
          <w:numId w:val="7"/>
        </w:numPr>
        <w:ind w:left="1440"/>
      </w:pPr>
      <w:r>
        <w:t>Invasin induces host cell to take up bacteria</w:t>
      </w:r>
    </w:p>
    <w:p w:rsidR="00987000" w:rsidRDefault="00987000" w:rsidP="00987000">
      <w:pPr>
        <w:pStyle w:val="NoSpacing"/>
        <w:numPr>
          <w:ilvl w:val="0"/>
          <w:numId w:val="7"/>
        </w:numPr>
        <w:ind w:left="1440"/>
      </w:pPr>
      <w:r>
        <w:t>Bacteria escapes phagosome into cytoplasm via hemolysin</w:t>
      </w:r>
    </w:p>
    <w:p w:rsidR="00987000" w:rsidRDefault="00987000" w:rsidP="00987000">
      <w:pPr>
        <w:pStyle w:val="NoSpacing"/>
        <w:numPr>
          <w:ilvl w:val="0"/>
          <w:numId w:val="7"/>
        </w:numPr>
        <w:ind w:left="1440"/>
      </w:pPr>
      <w:r>
        <w:t>Bacteria multiple + infect adj. cells via actin-polymerization</w:t>
      </w:r>
    </w:p>
    <w:p w:rsidR="00987000" w:rsidRDefault="00987000" w:rsidP="00987000">
      <w:pPr>
        <w:pStyle w:val="NoSpacing"/>
        <w:numPr>
          <w:ilvl w:val="0"/>
          <w:numId w:val="7"/>
        </w:numPr>
        <w:ind w:left="1440"/>
      </w:pPr>
      <w:r>
        <w:t>Bacteria released</w:t>
      </w:r>
    </w:p>
    <w:p w:rsidR="00987000" w:rsidRDefault="00987000" w:rsidP="00987000">
      <w:pPr>
        <w:pStyle w:val="NoSpacing"/>
        <w:numPr>
          <w:ilvl w:val="0"/>
          <w:numId w:val="7"/>
        </w:numPr>
        <w:ind w:left="1440"/>
      </w:pPr>
      <w:r>
        <w:t>Use peptido-glycan N-deacetylation to evade host immune system</w:t>
      </w:r>
    </w:p>
    <w:p w:rsidR="00987000" w:rsidRDefault="00987000" w:rsidP="00987000">
      <w:pPr>
        <w:pStyle w:val="NoSpacing"/>
        <w:numPr>
          <w:ilvl w:val="1"/>
          <w:numId w:val="7"/>
        </w:numPr>
        <w:ind w:left="2160"/>
      </w:pPr>
      <w:r>
        <w:t>Unmodified disaccharides recognized by lysosomes, TLR2, Nod</w:t>
      </w:r>
    </w:p>
    <w:p w:rsidR="00987000" w:rsidRDefault="00987000" w:rsidP="00987000">
      <w:pPr>
        <w:pStyle w:val="NoSpacing"/>
        <w:numPr>
          <w:ilvl w:val="0"/>
          <w:numId w:val="8"/>
        </w:numPr>
      </w:pPr>
      <w:r>
        <w:t>Diagnosis</w:t>
      </w:r>
    </w:p>
    <w:p w:rsidR="00987000" w:rsidRDefault="00987000" w:rsidP="00987000">
      <w:pPr>
        <w:pStyle w:val="NoSpacing"/>
        <w:numPr>
          <w:ilvl w:val="1"/>
          <w:numId w:val="8"/>
        </w:numPr>
      </w:pPr>
      <w:r>
        <w:t>Microscopy: short, Gm- chains</w:t>
      </w:r>
    </w:p>
    <w:p w:rsidR="00987000" w:rsidRDefault="00987000" w:rsidP="00987000">
      <w:pPr>
        <w:pStyle w:val="NoSpacing"/>
        <w:numPr>
          <w:ilvl w:val="1"/>
          <w:numId w:val="8"/>
        </w:numPr>
      </w:pPr>
      <w:r>
        <w:t>Culture – grows @ 4° C | in high salt | over wide range of pH</w:t>
      </w:r>
    </w:p>
    <w:p w:rsidR="00987000" w:rsidRDefault="00987000" w:rsidP="00987000">
      <w:pPr>
        <w:pStyle w:val="NoSpacing"/>
        <w:numPr>
          <w:ilvl w:val="1"/>
          <w:numId w:val="8"/>
        </w:numPr>
      </w:pPr>
      <w:r>
        <w:t>Cell properties – weakly hemolytic | motile @ room temp</w:t>
      </w:r>
    </w:p>
    <w:p w:rsidR="009F7747" w:rsidRDefault="009F7747" w:rsidP="009F7747">
      <w:pPr>
        <w:pStyle w:val="NoSpacing"/>
        <w:numPr>
          <w:ilvl w:val="0"/>
          <w:numId w:val="8"/>
        </w:numPr>
      </w:pPr>
      <w:r>
        <w:t>Epidemiology</w:t>
      </w:r>
    </w:p>
    <w:p w:rsidR="009F7747" w:rsidRDefault="009F7747" w:rsidP="009F7747">
      <w:pPr>
        <w:pStyle w:val="NoSpacing"/>
        <w:numPr>
          <w:ilvl w:val="1"/>
          <w:numId w:val="8"/>
        </w:numPr>
      </w:pPr>
      <w:r>
        <w:t>Ubiquitous</w:t>
      </w:r>
    </w:p>
    <w:p w:rsidR="009F7747" w:rsidRDefault="009F7747" w:rsidP="009F7747">
      <w:pPr>
        <w:pStyle w:val="NoSpacing"/>
        <w:numPr>
          <w:ilvl w:val="1"/>
          <w:numId w:val="8"/>
        </w:numPr>
      </w:pPr>
      <w:r>
        <w:t>Transmission by food poisoning</w:t>
      </w:r>
    </w:p>
    <w:p w:rsidR="009F7747" w:rsidRDefault="009F7747" w:rsidP="009F7747">
      <w:pPr>
        <w:pStyle w:val="NoSpacing"/>
        <w:numPr>
          <w:ilvl w:val="1"/>
          <w:numId w:val="8"/>
        </w:numPr>
      </w:pPr>
      <w:r>
        <w:t>Risk factors: Age Extremes | Pregnancy | Immunosuppressed</w:t>
      </w:r>
    </w:p>
    <w:p w:rsidR="001C796C" w:rsidRDefault="001C796C" w:rsidP="001C796C">
      <w:pPr>
        <w:pStyle w:val="NoSpacing"/>
        <w:numPr>
          <w:ilvl w:val="0"/>
          <w:numId w:val="8"/>
        </w:numPr>
      </w:pPr>
      <w:r>
        <w:t xml:space="preserve">T: </w:t>
      </w:r>
      <w:r>
        <w:rPr>
          <w:rFonts w:cstheme="minorHAnsi"/>
        </w:rPr>
        <w:t>β</w:t>
      </w:r>
      <w:r>
        <w:t>-lactams + aminoglycosides</w:t>
      </w:r>
    </w:p>
    <w:p w:rsidR="001C796C" w:rsidRDefault="001C796C" w:rsidP="001C796C">
      <w:pPr>
        <w:pStyle w:val="NoSpacing"/>
        <w:numPr>
          <w:ilvl w:val="0"/>
          <w:numId w:val="8"/>
        </w:numPr>
      </w:pPr>
      <w:r>
        <w:t>Pre: Avoid raw/partially-uncooked meats</w:t>
      </w:r>
    </w:p>
    <w:sectPr w:rsidR="001C796C" w:rsidSect="00BD7492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D4E" w:rsidRDefault="00A20D4E" w:rsidP="00782501">
      <w:pPr>
        <w:spacing w:after="0" w:line="240" w:lineRule="auto"/>
      </w:pPr>
      <w:r>
        <w:separator/>
      </w:r>
    </w:p>
  </w:endnote>
  <w:endnote w:type="continuationSeparator" w:id="0">
    <w:p w:rsidR="00A20D4E" w:rsidRDefault="00A20D4E" w:rsidP="00782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67768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119F" w:rsidRDefault="005411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D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119F" w:rsidRDefault="005411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D4E" w:rsidRDefault="00A20D4E" w:rsidP="00782501">
      <w:pPr>
        <w:spacing w:after="0" w:line="240" w:lineRule="auto"/>
      </w:pPr>
      <w:r>
        <w:separator/>
      </w:r>
    </w:p>
  </w:footnote>
  <w:footnote w:type="continuationSeparator" w:id="0">
    <w:p w:rsidR="00A20D4E" w:rsidRDefault="00A20D4E" w:rsidP="00782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01" w:rsidRDefault="00782501" w:rsidP="00782501">
    <w:pPr>
      <w:pStyle w:val="Header"/>
      <w:jc w:val="right"/>
    </w:pPr>
    <w:r>
      <w:t>Nischal Raya</w:t>
    </w:r>
  </w:p>
  <w:p w:rsidR="00782501" w:rsidRDefault="007825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15pt;height:11.15pt" o:bullet="t">
        <v:imagedata r:id="rId1" o:title="msoFD4B"/>
      </v:shape>
    </w:pict>
  </w:numPicBullet>
  <w:abstractNum w:abstractNumId="0">
    <w:nsid w:val="01C63167"/>
    <w:multiLevelType w:val="hybridMultilevel"/>
    <w:tmpl w:val="86669CF6"/>
    <w:lvl w:ilvl="0" w:tplc="033ED8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583B28"/>
    <w:multiLevelType w:val="hybridMultilevel"/>
    <w:tmpl w:val="D7FEB5A8"/>
    <w:lvl w:ilvl="0" w:tplc="0CA69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3E3863"/>
    <w:multiLevelType w:val="hybridMultilevel"/>
    <w:tmpl w:val="F006AD7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B3DF9"/>
    <w:multiLevelType w:val="hybridMultilevel"/>
    <w:tmpl w:val="5DEE0846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D56447"/>
    <w:multiLevelType w:val="hybridMultilevel"/>
    <w:tmpl w:val="AD3AF46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9E29F8"/>
    <w:multiLevelType w:val="hybridMultilevel"/>
    <w:tmpl w:val="AFA2604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17762C"/>
    <w:multiLevelType w:val="hybridMultilevel"/>
    <w:tmpl w:val="B22CB56A"/>
    <w:lvl w:ilvl="0" w:tplc="04090007">
      <w:start w:val="1"/>
      <w:numFmt w:val="bullet"/>
      <w:lvlText w:val=""/>
      <w:lvlPicBulletId w:val="0"/>
      <w:lvlJc w:val="left"/>
      <w:pPr>
        <w:ind w:left="76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>
    <w:nsid w:val="7FED091D"/>
    <w:multiLevelType w:val="hybridMultilevel"/>
    <w:tmpl w:val="83C8321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92"/>
    <w:rsid w:val="0009304C"/>
    <w:rsid w:val="0014076B"/>
    <w:rsid w:val="001C5634"/>
    <w:rsid w:val="001C796C"/>
    <w:rsid w:val="00334697"/>
    <w:rsid w:val="003F0753"/>
    <w:rsid w:val="00416E89"/>
    <w:rsid w:val="00443B07"/>
    <w:rsid w:val="00486F25"/>
    <w:rsid w:val="0054119F"/>
    <w:rsid w:val="00552537"/>
    <w:rsid w:val="00595CE3"/>
    <w:rsid w:val="006A3F5C"/>
    <w:rsid w:val="00754899"/>
    <w:rsid w:val="00782501"/>
    <w:rsid w:val="007F2993"/>
    <w:rsid w:val="00827292"/>
    <w:rsid w:val="00987000"/>
    <w:rsid w:val="009F7747"/>
    <w:rsid w:val="00A20D4E"/>
    <w:rsid w:val="00BD7492"/>
    <w:rsid w:val="00CA6C0E"/>
    <w:rsid w:val="00D81B72"/>
    <w:rsid w:val="00EF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749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82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501"/>
  </w:style>
  <w:style w:type="paragraph" w:styleId="Footer">
    <w:name w:val="footer"/>
    <w:basedOn w:val="Normal"/>
    <w:link w:val="FooterChar"/>
    <w:uiPriority w:val="99"/>
    <w:unhideWhenUsed/>
    <w:rsid w:val="00782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501"/>
  </w:style>
  <w:style w:type="paragraph" w:styleId="BalloonText">
    <w:name w:val="Balloon Text"/>
    <w:basedOn w:val="Normal"/>
    <w:link w:val="BalloonTextChar"/>
    <w:uiPriority w:val="99"/>
    <w:semiHidden/>
    <w:unhideWhenUsed/>
    <w:rsid w:val="00782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749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82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501"/>
  </w:style>
  <w:style w:type="paragraph" w:styleId="Footer">
    <w:name w:val="footer"/>
    <w:basedOn w:val="Normal"/>
    <w:link w:val="FooterChar"/>
    <w:uiPriority w:val="99"/>
    <w:unhideWhenUsed/>
    <w:rsid w:val="00782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501"/>
  </w:style>
  <w:style w:type="paragraph" w:styleId="BalloonText">
    <w:name w:val="Balloon Text"/>
    <w:basedOn w:val="Normal"/>
    <w:link w:val="BalloonTextChar"/>
    <w:uiPriority w:val="99"/>
    <w:semiHidden/>
    <w:unhideWhenUsed/>
    <w:rsid w:val="00782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DC4"/>
    <w:rsid w:val="00563B67"/>
    <w:rsid w:val="0092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50E7BC6A924C248D8FE4D6A87C1B18">
    <w:name w:val="8B50E7BC6A924C248D8FE4D6A87C1B18"/>
    <w:rsid w:val="00925D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50E7BC6A924C248D8FE4D6A87C1B18">
    <w:name w:val="8B50E7BC6A924C248D8FE4D6A87C1B18"/>
    <w:rsid w:val="00925D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18</cp:revision>
  <dcterms:created xsi:type="dcterms:W3CDTF">2012-09-21T13:27:00Z</dcterms:created>
  <dcterms:modified xsi:type="dcterms:W3CDTF">2012-09-21T14:58:00Z</dcterms:modified>
</cp:coreProperties>
</file>